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BD" w:rsidRPr="006078BD" w:rsidRDefault="006078BD" w:rsidP="006078BD">
      <w:pPr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6078BD">
        <w:rPr>
          <w:rFonts w:asciiTheme="majorHAnsi" w:hAnsiTheme="majorHAnsi" w:cstheme="majorHAnsi"/>
          <w:b/>
          <w:sz w:val="22"/>
          <w:szCs w:val="22"/>
        </w:rPr>
        <w:t>VÍTKOVICE CYLINDERS a.s.</w:t>
      </w:r>
    </w:p>
    <w:p w:rsidR="006078BD" w:rsidRPr="006078BD" w:rsidRDefault="006078BD" w:rsidP="006078BD">
      <w:pPr>
        <w:jc w:val="center"/>
        <w:outlineLvl w:val="0"/>
        <w:rPr>
          <w:rFonts w:asciiTheme="majorHAnsi" w:hAnsiTheme="majorHAnsi" w:cstheme="majorHAnsi"/>
          <w:sz w:val="22"/>
          <w:szCs w:val="22"/>
        </w:rPr>
      </w:pPr>
      <w:r w:rsidRPr="006078BD">
        <w:rPr>
          <w:rFonts w:asciiTheme="majorHAnsi" w:hAnsiTheme="majorHAnsi" w:cstheme="majorHAnsi"/>
          <w:sz w:val="22"/>
          <w:szCs w:val="22"/>
        </w:rPr>
        <w:t>IČ 25849026</w:t>
      </w:r>
    </w:p>
    <w:p w:rsidR="006078BD" w:rsidRPr="006078BD" w:rsidRDefault="006078BD" w:rsidP="006078BD">
      <w:pPr>
        <w:jc w:val="center"/>
        <w:outlineLvl w:val="0"/>
        <w:rPr>
          <w:rFonts w:asciiTheme="majorHAnsi" w:hAnsiTheme="majorHAnsi" w:cstheme="majorHAnsi"/>
          <w:sz w:val="22"/>
          <w:szCs w:val="22"/>
        </w:rPr>
      </w:pPr>
      <w:r w:rsidRPr="006078BD">
        <w:rPr>
          <w:rFonts w:asciiTheme="majorHAnsi" w:hAnsiTheme="majorHAnsi" w:cstheme="majorHAnsi"/>
          <w:sz w:val="22"/>
          <w:szCs w:val="22"/>
        </w:rPr>
        <w:t>se sídlem Ruská 24/83, Ostrava, PSČ 70600</w:t>
      </w:r>
    </w:p>
    <w:p w:rsidR="006078BD" w:rsidRPr="006078BD" w:rsidRDefault="006078BD" w:rsidP="006078BD">
      <w:pPr>
        <w:jc w:val="center"/>
        <w:outlineLvl w:val="0"/>
        <w:rPr>
          <w:rFonts w:asciiTheme="majorHAnsi" w:hAnsiTheme="majorHAnsi" w:cstheme="majorHAnsi"/>
          <w:sz w:val="22"/>
          <w:szCs w:val="22"/>
        </w:rPr>
      </w:pPr>
      <w:r w:rsidRPr="006078BD">
        <w:rPr>
          <w:rFonts w:asciiTheme="majorHAnsi" w:hAnsiTheme="majorHAnsi" w:cstheme="majorHAnsi"/>
          <w:sz w:val="22"/>
          <w:szCs w:val="22"/>
        </w:rPr>
        <w:t>zapsaná v obchodním rejstříku vedeném Krajským soudem v Ostravě, oddíl B, vložka 2260</w:t>
      </w:r>
    </w:p>
    <w:p w:rsidR="006078BD" w:rsidRPr="006078BD" w:rsidRDefault="006078BD" w:rsidP="006078BD"/>
    <w:p w:rsidR="006078BD" w:rsidRDefault="006078BD" w:rsidP="006078BD"/>
    <w:p w:rsidR="006078BD" w:rsidRPr="001D0993" w:rsidRDefault="006078BD" w:rsidP="006078BD">
      <w:pPr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  <w:r w:rsidRPr="001D0993">
        <w:rPr>
          <w:rFonts w:asciiTheme="majorHAnsi" w:hAnsiTheme="majorHAnsi" w:cstheme="majorHAnsi"/>
          <w:b/>
          <w:sz w:val="26"/>
          <w:szCs w:val="26"/>
        </w:rPr>
        <w:t>INFORMACE O ZPRACOVÁNÍ OSOBNÍCH ÚDAJŮ</w:t>
      </w:r>
    </w:p>
    <w:p w:rsidR="006078BD" w:rsidRPr="001D0993" w:rsidRDefault="006078BD" w:rsidP="006078BD">
      <w:pPr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6078BD" w:rsidRPr="001D0993" w:rsidRDefault="006078BD" w:rsidP="006078BD">
      <w:pPr>
        <w:jc w:val="center"/>
        <w:outlineLvl w:val="0"/>
        <w:rPr>
          <w:rFonts w:asciiTheme="majorHAnsi" w:hAnsiTheme="majorHAnsi" w:cstheme="majorHAnsi"/>
          <w:b/>
          <w:sz w:val="26"/>
          <w:szCs w:val="26"/>
        </w:rPr>
      </w:pPr>
      <w:r w:rsidRPr="001D0993">
        <w:rPr>
          <w:rFonts w:asciiTheme="majorHAnsi" w:hAnsiTheme="majorHAnsi" w:cstheme="majorHAnsi"/>
          <w:b/>
          <w:sz w:val="26"/>
          <w:szCs w:val="26"/>
        </w:rPr>
        <w:t>UCHAZEČŮ O ZAMĚSTNÁNÍ</w:t>
      </w:r>
    </w:p>
    <w:p w:rsidR="006078BD" w:rsidRPr="00D41EB7" w:rsidRDefault="006078BD" w:rsidP="006078BD">
      <w:pPr>
        <w:rPr>
          <w:rFonts w:asciiTheme="majorHAnsi" w:hAnsiTheme="majorHAnsi" w:cstheme="majorHAnsi"/>
          <w:sz w:val="22"/>
          <w:szCs w:val="22"/>
        </w:rPr>
      </w:pPr>
    </w:p>
    <w:p w:rsidR="006078BD" w:rsidRDefault="006078BD" w:rsidP="006078BD"/>
    <w:p w:rsidR="006078BD" w:rsidRDefault="006078BD" w:rsidP="006078B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Tato informace je určena všem osobám, které </w:t>
      </w:r>
      <w:r w:rsidRPr="00651A77">
        <w:rPr>
          <w:rFonts w:asciiTheme="majorHAnsi" w:hAnsiTheme="majorHAnsi" w:cstheme="majorHAnsi"/>
          <w:b/>
          <w:sz w:val="22"/>
          <w:szCs w:val="22"/>
        </w:rPr>
        <w:t>VÍTKOVICE CYLINDERS a.s.</w:t>
      </w:r>
      <w:r>
        <w:rPr>
          <w:rFonts w:asciiTheme="majorHAnsi" w:hAnsiTheme="majorHAnsi" w:cstheme="majorHAnsi"/>
          <w:sz w:val="22"/>
          <w:szCs w:val="22"/>
        </w:rPr>
        <w:t xml:space="preserve"> jakožto správce osobních údajů (dále jen „</w:t>
      </w:r>
      <w:r>
        <w:rPr>
          <w:rFonts w:asciiTheme="majorHAnsi" w:hAnsiTheme="majorHAnsi" w:cstheme="majorHAnsi"/>
          <w:b/>
          <w:sz w:val="22"/>
          <w:szCs w:val="22"/>
        </w:rPr>
        <w:t>správce OÚ</w:t>
      </w:r>
      <w:r>
        <w:rPr>
          <w:rFonts w:asciiTheme="majorHAnsi" w:hAnsiTheme="majorHAnsi" w:cstheme="majorHAnsi"/>
          <w:sz w:val="22"/>
          <w:szCs w:val="22"/>
        </w:rPr>
        <w:t>“) oslovují s poptávkou zaměstnání, ať už samostatně nebo na základě předchozí výzvy SPRÁVCE OÚ ve formě organizovaného výběrového řízení, případně prostřednictvím inzertních serverů (dále jen „</w:t>
      </w:r>
      <w:r w:rsidRPr="00970C82">
        <w:rPr>
          <w:rFonts w:asciiTheme="majorHAnsi" w:hAnsiTheme="majorHAnsi" w:cstheme="majorHAnsi"/>
          <w:b/>
          <w:sz w:val="22"/>
          <w:szCs w:val="22"/>
        </w:rPr>
        <w:t>uchazeči</w:t>
      </w:r>
      <w:r>
        <w:rPr>
          <w:rFonts w:asciiTheme="majorHAnsi" w:hAnsiTheme="majorHAnsi" w:cstheme="majorHAnsi"/>
          <w:sz w:val="22"/>
          <w:szCs w:val="22"/>
        </w:rPr>
        <w:t>“).</w:t>
      </w:r>
    </w:p>
    <w:p w:rsidR="006078BD" w:rsidRDefault="006078BD" w:rsidP="006078BD">
      <w:pPr>
        <w:pStyle w:val="Odstavecseseznamem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:rsidR="006078BD" w:rsidRDefault="006078BD" w:rsidP="006078BD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SPRÁVCE OÚ zpracovává o uchazečích ty informace, které mu sami poskytnou, zejména v rámci životopisu, zaslaného v elektronické či písemné formě, a jeho e-mailovou adresu, a to přímo nebo prostřednictvím inzertních serverů. Životopis nebo případně další dokumenty, zaslané uchazečem (např. kopie dokladu o vzdělání) jsou po dobu zpracování zpracovávány v podobě, v jaké je uchazeč SPRÁVCE OÚ poskytl, přičemž pro účely informování jednotlivých odpovědných pracovníků SPRÁVCE OÚ o uchazeči a rozhodování o jeho přijetí je SPRÁVCE OÚ oprávněn tyto dokumenty převést do jiné podoby (zejména vytisknout dokumenty, které byly uchazečem zaslány v elektronické formě).</w:t>
      </w:r>
    </w:p>
    <w:p w:rsidR="006078BD" w:rsidRDefault="006078BD" w:rsidP="006078BD">
      <w:pPr>
        <w:pStyle w:val="Odstavecseseznamem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:rsidR="006078BD" w:rsidRPr="00F966ED" w:rsidRDefault="006078BD" w:rsidP="006078BD">
      <w:pPr>
        <w:pStyle w:val="Odstavecseseznamem"/>
        <w:numPr>
          <w:ilvl w:val="0"/>
          <w:numId w:val="1"/>
        </w:numPr>
        <w:ind w:left="426" w:hanging="426"/>
        <w:jc w:val="both"/>
      </w:pPr>
      <w:r>
        <w:rPr>
          <w:rFonts w:asciiTheme="majorHAnsi" w:hAnsiTheme="majorHAnsi" w:cstheme="majorHAnsi"/>
          <w:sz w:val="22"/>
          <w:szCs w:val="22"/>
        </w:rPr>
        <w:t>SPRÁVCE OÚ</w:t>
      </w:r>
      <w:r w:rsidRPr="00F06005">
        <w:rPr>
          <w:rFonts w:asciiTheme="majorHAnsi" w:hAnsiTheme="majorHAnsi" w:cstheme="majorHAnsi"/>
          <w:sz w:val="22"/>
          <w:szCs w:val="22"/>
        </w:rPr>
        <w:t xml:space="preserve"> jakožto správce osobních údajů uchazečů poskytuje těmto </w:t>
      </w:r>
      <w:r>
        <w:rPr>
          <w:rFonts w:asciiTheme="majorHAnsi" w:hAnsiTheme="majorHAnsi" w:cstheme="majorHAnsi"/>
          <w:sz w:val="22"/>
          <w:szCs w:val="22"/>
        </w:rPr>
        <w:t xml:space="preserve">jakožto subjektům osobních údajů </w:t>
      </w:r>
      <w:r w:rsidRPr="00F06005">
        <w:rPr>
          <w:rFonts w:asciiTheme="majorHAnsi" w:hAnsiTheme="majorHAnsi" w:cstheme="majorHAnsi"/>
          <w:sz w:val="22"/>
          <w:szCs w:val="22"/>
        </w:rPr>
        <w:t xml:space="preserve">ve smyslu čl. 13 </w:t>
      </w:r>
      <w:r>
        <w:rPr>
          <w:rFonts w:asciiTheme="majorHAnsi" w:hAnsiTheme="majorHAnsi" w:cstheme="majorHAnsi"/>
          <w:sz w:val="22"/>
          <w:szCs w:val="22"/>
        </w:rPr>
        <w:t>odst. 1 a odst. 2 Nařízení Evropského parlamentu a Rady (EU) č. 2016/679, tzv. O</w:t>
      </w:r>
      <w:r w:rsidRPr="007178B6">
        <w:rPr>
          <w:rFonts w:asciiTheme="majorHAnsi" w:hAnsiTheme="majorHAnsi" w:cstheme="majorHAnsi"/>
          <w:sz w:val="22"/>
          <w:szCs w:val="22"/>
        </w:rPr>
        <w:t>becné</w:t>
      </w:r>
      <w:r>
        <w:rPr>
          <w:rFonts w:asciiTheme="majorHAnsi" w:hAnsiTheme="majorHAnsi" w:cstheme="majorHAnsi"/>
          <w:sz w:val="22"/>
          <w:szCs w:val="22"/>
        </w:rPr>
        <w:t>ho</w:t>
      </w:r>
      <w:r w:rsidRPr="007178B6">
        <w:rPr>
          <w:rFonts w:asciiTheme="majorHAnsi" w:hAnsiTheme="majorHAnsi" w:cstheme="majorHAnsi"/>
          <w:sz w:val="22"/>
          <w:szCs w:val="22"/>
        </w:rPr>
        <w:t xml:space="preserve"> nařízení o ochraně osobních údajů</w:t>
      </w:r>
      <w:r>
        <w:rPr>
          <w:rFonts w:asciiTheme="majorHAnsi" w:hAnsiTheme="majorHAnsi" w:cstheme="majorHAnsi"/>
          <w:sz w:val="22"/>
          <w:szCs w:val="22"/>
        </w:rPr>
        <w:t xml:space="preserve"> (dále jen „</w:t>
      </w:r>
      <w:r w:rsidRPr="007E1DA4">
        <w:rPr>
          <w:rFonts w:asciiTheme="majorHAnsi" w:hAnsiTheme="majorHAnsi" w:cstheme="majorHAnsi"/>
          <w:b/>
          <w:sz w:val="22"/>
          <w:szCs w:val="22"/>
        </w:rPr>
        <w:t>Nařízení</w:t>
      </w:r>
      <w:r>
        <w:rPr>
          <w:rFonts w:asciiTheme="majorHAnsi" w:hAnsiTheme="majorHAnsi" w:cstheme="majorHAnsi"/>
          <w:sz w:val="22"/>
          <w:szCs w:val="22"/>
        </w:rPr>
        <w:t>“</w:t>
      </w:r>
      <w:r w:rsidRPr="007178B6">
        <w:rPr>
          <w:rFonts w:asciiTheme="majorHAnsi" w:hAnsiTheme="majorHAnsi" w:cstheme="majorHAnsi"/>
          <w:sz w:val="22"/>
          <w:szCs w:val="22"/>
        </w:rPr>
        <w:t>)</w:t>
      </w:r>
      <w:r>
        <w:rPr>
          <w:rFonts w:asciiTheme="majorHAnsi" w:hAnsiTheme="majorHAnsi" w:cstheme="majorHAnsi"/>
          <w:sz w:val="22"/>
          <w:szCs w:val="22"/>
        </w:rPr>
        <w:t xml:space="preserve"> následující informace o zpracování osobních údajů:</w:t>
      </w:r>
    </w:p>
    <w:p w:rsidR="006078BD" w:rsidRDefault="006078BD" w:rsidP="006078BD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0"/>
      </w:tblGrid>
      <w:tr w:rsidR="006078BD" w:rsidRPr="00CD6E5A" w:rsidTr="0013116C">
        <w:tc>
          <w:tcPr>
            <w:tcW w:w="3256" w:type="dxa"/>
          </w:tcPr>
          <w:p w:rsidR="006078BD" w:rsidRPr="00592E80" w:rsidRDefault="006078BD" w:rsidP="00131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2E80">
              <w:rPr>
                <w:rFonts w:asciiTheme="majorHAnsi" w:hAnsiTheme="majorHAnsi" w:cstheme="majorHAnsi"/>
                <w:b/>
                <w:sz w:val="20"/>
                <w:szCs w:val="20"/>
              </w:rPr>
              <w:t>Totožnost a kontaktní údaje správce:</w:t>
            </w:r>
          </w:p>
          <w:p w:rsidR="006078BD" w:rsidRPr="00592E80" w:rsidRDefault="006078BD" w:rsidP="00131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800" w:type="dxa"/>
          </w:tcPr>
          <w:p w:rsidR="006078BD" w:rsidRPr="00F966ED" w:rsidRDefault="00C0058C" w:rsidP="0013116C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VÍTKOVICE CYLINDERS a.s.</w:t>
            </w:r>
            <w:bookmarkStart w:id="0" w:name="_GoBack"/>
            <w:bookmarkEnd w:id="0"/>
          </w:p>
          <w:p w:rsidR="006078BD" w:rsidRPr="006078BD" w:rsidRDefault="006078BD" w:rsidP="006078B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78BD">
              <w:rPr>
                <w:rFonts w:asciiTheme="majorHAnsi" w:hAnsiTheme="majorHAnsi" w:cstheme="majorHAnsi"/>
                <w:sz w:val="20"/>
                <w:szCs w:val="20"/>
              </w:rPr>
              <w:t>IČ 25849026</w:t>
            </w:r>
          </w:p>
          <w:p w:rsidR="006078BD" w:rsidRPr="00CD6E5A" w:rsidRDefault="006078BD" w:rsidP="006078B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078BD">
              <w:rPr>
                <w:rFonts w:asciiTheme="majorHAnsi" w:hAnsiTheme="majorHAnsi" w:cstheme="majorHAnsi"/>
                <w:sz w:val="20"/>
                <w:szCs w:val="20"/>
              </w:rPr>
              <w:t>se sídlem Ruská 24/83, Ostrava, PSČ 70600</w:t>
            </w:r>
          </w:p>
        </w:tc>
      </w:tr>
      <w:tr w:rsidR="006078BD" w:rsidRPr="00CD6E5A" w:rsidTr="0013116C">
        <w:tc>
          <w:tcPr>
            <w:tcW w:w="3256" w:type="dxa"/>
          </w:tcPr>
          <w:p w:rsidR="006078BD" w:rsidRPr="00592E80" w:rsidRDefault="006078BD" w:rsidP="00131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2E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Kontaktní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osoba pověřená dohledem nad ochranou</w:t>
            </w:r>
            <w:r w:rsidRPr="00592E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osobních údajů:</w:t>
            </w:r>
          </w:p>
        </w:tc>
        <w:tc>
          <w:tcPr>
            <w:tcW w:w="5800" w:type="dxa"/>
          </w:tcPr>
          <w:p w:rsidR="006078BD" w:rsidRPr="00CD6E5A" w:rsidRDefault="007952FE" w:rsidP="0013116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Tým GDPR</w:t>
            </w:r>
          </w:p>
        </w:tc>
      </w:tr>
      <w:tr w:rsidR="006078BD" w:rsidRPr="00CD6E5A" w:rsidTr="0013116C">
        <w:tc>
          <w:tcPr>
            <w:tcW w:w="3256" w:type="dxa"/>
          </w:tcPr>
          <w:p w:rsidR="006078BD" w:rsidRPr="00592E80" w:rsidRDefault="006078BD" w:rsidP="00131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2E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Účel zpracování osobních údajů </w:t>
            </w:r>
          </w:p>
        </w:tc>
        <w:tc>
          <w:tcPr>
            <w:tcW w:w="5800" w:type="dxa"/>
          </w:tcPr>
          <w:p w:rsidR="006078BD" w:rsidRPr="00CD6E5A" w:rsidRDefault="006078BD" w:rsidP="0013116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D6E5A">
              <w:rPr>
                <w:rFonts w:asciiTheme="majorHAnsi" w:hAnsiTheme="majorHAnsi" w:cstheme="majorHAnsi"/>
                <w:sz w:val="20"/>
                <w:szCs w:val="20"/>
              </w:rPr>
              <w:t>Účelem zpracování je evidence uchazečů o zaměstnání v 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SPRÁVCE OÚ</w:t>
            </w:r>
            <w:r w:rsidRPr="00CD6E5A">
              <w:rPr>
                <w:rFonts w:asciiTheme="majorHAnsi" w:hAnsiTheme="majorHAnsi" w:cstheme="majorHAnsi"/>
                <w:sz w:val="20"/>
                <w:szCs w:val="20"/>
              </w:rPr>
              <w:t xml:space="preserve"> pro účely rozhodnutí o přijetí nebo nepřijetí uchazeče, a evidence nepřijatých uchazečů</w:t>
            </w:r>
          </w:p>
        </w:tc>
      </w:tr>
      <w:tr w:rsidR="006078BD" w:rsidRPr="00CD6E5A" w:rsidTr="0013116C">
        <w:tc>
          <w:tcPr>
            <w:tcW w:w="3256" w:type="dxa"/>
          </w:tcPr>
          <w:p w:rsidR="006078BD" w:rsidRPr="00592E80" w:rsidRDefault="006078BD" w:rsidP="00131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2E80">
              <w:rPr>
                <w:rFonts w:asciiTheme="majorHAnsi" w:hAnsiTheme="majorHAnsi" w:cstheme="majorHAnsi"/>
                <w:b/>
                <w:sz w:val="20"/>
                <w:szCs w:val="20"/>
              </w:rPr>
              <w:t>Právní základ zpracování</w:t>
            </w:r>
          </w:p>
        </w:tc>
        <w:tc>
          <w:tcPr>
            <w:tcW w:w="5800" w:type="dxa"/>
          </w:tcPr>
          <w:p w:rsidR="006078BD" w:rsidRPr="00CD6E5A" w:rsidRDefault="006078BD" w:rsidP="0013116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D6E5A">
              <w:rPr>
                <w:rFonts w:asciiTheme="majorHAnsi" w:hAnsiTheme="majorHAnsi" w:cstheme="majorHAnsi"/>
                <w:sz w:val="20"/>
                <w:szCs w:val="20"/>
              </w:rPr>
              <w:t>čl. 6 odst. 1 písm. b) Nařízení - zpracování je nezbytné pro provedení opatření přijatých před uzavřením smlouvy na žádost subjektu údajů</w:t>
            </w:r>
          </w:p>
        </w:tc>
      </w:tr>
      <w:tr w:rsidR="006078BD" w:rsidRPr="00CD6E5A" w:rsidTr="0013116C">
        <w:tc>
          <w:tcPr>
            <w:tcW w:w="3256" w:type="dxa"/>
          </w:tcPr>
          <w:p w:rsidR="006078BD" w:rsidRPr="00592E80" w:rsidRDefault="006078BD" w:rsidP="00131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2E80">
              <w:rPr>
                <w:rFonts w:asciiTheme="majorHAnsi" w:hAnsiTheme="majorHAnsi" w:cstheme="majorHAnsi"/>
                <w:b/>
                <w:sz w:val="20"/>
                <w:szCs w:val="20"/>
              </w:rPr>
              <w:t>Příjemci nebo kategorie příjemců osobních údajů</w:t>
            </w:r>
          </w:p>
        </w:tc>
        <w:tc>
          <w:tcPr>
            <w:tcW w:w="5800" w:type="dxa"/>
          </w:tcPr>
          <w:p w:rsidR="006078BD" w:rsidRPr="00CD6E5A" w:rsidRDefault="006078BD" w:rsidP="0013116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D6E5A">
              <w:rPr>
                <w:rFonts w:asciiTheme="majorHAnsi" w:hAnsiTheme="majorHAnsi" w:cstheme="majorHAnsi"/>
                <w:sz w:val="20"/>
                <w:szCs w:val="20"/>
              </w:rPr>
              <w:t xml:space="preserve">Osobní údaje uchazečů mohou být předány jiným zaměstnancům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SPRÁVCE OÚ</w:t>
            </w:r>
            <w:r w:rsidRPr="00CD6E5A">
              <w:rPr>
                <w:rFonts w:asciiTheme="majorHAnsi" w:hAnsiTheme="majorHAnsi" w:cstheme="majorHAnsi"/>
                <w:sz w:val="20"/>
                <w:szCs w:val="20"/>
              </w:rPr>
              <w:t xml:space="preserve">, kteří se dle interních pravidel podílí na rozhodování o přijetí uchazeče. Osobní údaje uchazečů a jimi zaslané dokumenty nejsou bez souhlasu uchazeče nikdy předávány třetím osobám mimo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SPRÁVCE OÚ</w:t>
            </w:r>
            <w:r w:rsidRPr="00CD6E5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6078BD" w:rsidRPr="00CD6E5A" w:rsidTr="0013116C">
        <w:tc>
          <w:tcPr>
            <w:tcW w:w="3256" w:type="dxa"/>
          </w:tcPr>
          <w:p w:rsidR="006078BD" w:rsidRPr="00592E80" w:rsidRDefault="006078BD" w:rsidP="00131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2E80">
              <w:rPr>
                <w:rFonts w:asciiTheme="majorHAnsi" w:hAnsiTheme="majorHAnsi" w:cstheme="majorHAnsi"/>
                <w:b/>
                <w:sz w:val="20"/>
                <w:szCs w:val="20"/>
              </w:rPr>
              <w:t>Předání osobních údajů do zemí mimo EU</w:t>
            </w:r>
          </w:p>
        </w:tc>
        <w:tc>
          <w:tcPr>
            <w:tcW w:w="5800" w:type="dxa"/>
          </w:tcPr>
          <w:p w:rsidR="006078BD" w:rsidRPr="00CD6E5A" w:rsidRDefault="006078BD" w:rsidP="0013116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SPRÁVCE OÚ</w:t>
            </w:r>
            <w:r w:rsidRPr="00CD6E5A">
              <w:rPr>
                <w:rFonts w:asciiTheme="majorHAnsi" w:hAnsiTheme="majorHAnsi" w:cstheme="majorHAnsi"/>
                <w:sz w:val="20"/>
                <w:szCs w:val="20"/>
              </w:rPr>
              <w:t xml:space="preserve"> nepředává osobní údaje uchazečů do žádných zemí mimo EU, a to ani v rámci využívání jakýchkoli datových úložišť a </w:t>
            </w:r>
            <w:proofErr w:type="spellStart"/>
            <w:r w:rsidRPr="00CD6E5A">
              <w:rPr>
                <w:rFonts w:asciiTheme="majorHAnsi" w:hAnsiTheme="majorHAnsi" w:cstheme="majorHAnsi"/>
                <w:sz w:val="20"/>
                <w:szCs w:val="20"/>
              </w:rPr>
              <w:t>cloudových</w:t>
            </w:r>
            <w:proofErr w:type="spellEnd"/>
            <w:r w:rsidRPr="00CD6E5A">
              <w:rPr>
                <w:rFonts w:asciiTheme="majorHAnsi" w:hAnsiTheme="majorHAnsi" w:cstheme="majorHAnsi"/>
                <w:sz w:val="20"/>
                <w:szCs w:val="20"/>
              </w:rPr>
              <w:t xml:space="preserve"> služeb</w:t>
            </w:r>
          </w:p>
        </w:tc>
      </w:tr>
      <w:tr w:rsidR="006078BD" w:rsidRPr="00CD6E5A" w:rsidTr="0013116C">
        <w:tc>
          <w:tcPr>
            <w:tcW w:w="3256" w:type="dxa"/>
          </w:tcPr>
          <w:p w:rsidR="006078BD" w:rsidRPr="00592E80" w:rsidRDefault="006078BD" w:rsidP="00131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2E80">
              <w:rPr>
                <w:rFonts w:asciiTheme="majorHAnsi" w:hAnsiTheme="majorHAnsi" w:cstheme="majorHAnsi"/>
                <w:b/>
                <w:sz w:val="20"/>
                <w:szCs w:val="20"/>
              </w:rPr>
              <w:t>Doba uložení osobních údajů</w:t>
            </w:r>
          </w:p>
        </w:tc>
        <w:tc>
          <w:tcPr>
            <w:tcW w:w="5800" w:type="dxa"/>
          </w:tcPr>
          <w:p w:rsidR="006078BD" w:rsidRPr="00CD6E5A" w:rsidRDefault="006078BD" w:rsidP="0013116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D6E5A">
              <w:rPr>
                <w:rFonts w:asciiTheme="majorHAnsi" w:hAnsiTheme="majorHAnsi" w:cstheme="majorHAnsi"/>
                <w:sz w:val="20"/>
                <w:szCs w:val="20"/>
              </w:rPr>
              <w:t xml:space="preserve">Osobní údaje uchazečů a jimi zaslané dokumenty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SPRÁVCE OÚ</w:t>
            </w:r>
            <w:r w:rsidRPr="00CD6E5A">
              <w:rPr>
                <w:rFonts w:asciiTheme="majorHAnsi" w:hAnsiTheme="majorHAnsi" w:cstheme="majorHAnsi"/>
                <w:sz w:val="20"/>
                <w:szCs w:val="20"/>
              </w:rPr>
              <w:t xml:space="preserve"> uchovává do doby konečného rozhodnutí o přijetí nebo nepřijetí uchazeče. </w:t>
            </w:r>
          </w:p>
          <w:p w:rsidR="006078BD" w:rsidRPr="00CD6E5A" w:rsidRDefault="006078BD" w:rsidP="0013116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D6E5A">
              <w:rPr>
                <w:rFonts w:asciiTheme="majorHAnsi" w:hAnsiTheme="majorHAnsi" w:cstheme="majorHAnsi"/>
                <w:sz w:val="20"/>
                <w:szCs w:val="20"/>
              </w:rPr>
              <w:t xml:space="preserve">V případě, že je uchazeč přijat a je s ním sjednán pracovní poměr, stávají se zaslané dokumenty součástí jeho osobní složky, přičemž </w:t>
            </w:r>
            <w:r w:rsidRPr="00CD6E5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životopis nadále slouží k ověření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pravdivosti tvrzení</w:t>
            </w:r>
            <w:r w:rsidRPr="00CD6E5A">
              <w:rPr>
                <w:rFonts w:asciiTheme="majorHAnsi" w:hAnsiTheme="majorHAnsi" w:cstheme="majorHAnsi"/>
                <w:sz w:val="20"/>
                <w:szCs w:val="20"/>
              </w:rPr>
              <w:t xml:space="preserve"> v životopisu uvedených, a po uplynutí 1 roku trvání pracovního poměru je životopis skartován. </w:t>
            </w:r>
          </w:p>
          <w:p w:rsidR="006078BD" w:rsidRPr="00CD6E5A" w:rsidRDefault="006078BD" w:rsidP="006078B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D6E5A">
              <w:rPr>
                <w:rFonts w:asciiTheme="majorHAnsi" w:hAnsiTheme="majorHAnsi" w:cstheme="majorHAnsi"/>
                <w:sz w:val="20"/>
                <w:szCs w:val="20"/>
              </w:rPr>
              <w:t xml:space="preserve">V případě, že uchazeč není přijat,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SPRÁVCE OÚ bezodkladně skartuje případné listinné vyhotovení životopisu uchazeče, a </w:t>
            </w:r>
            <w:r w:rsidRPr="00CD6E5A">
              <w:rPr>
                <w:rFonts w:asciiTheme="majorHAnsi" w:hAnsiTheme="majorHAnsi" w:cstheme="majorHAnsi"/>
                <w:sz w:val="20"/>
                <w:szCs w:val="20"/>
              </w:rPr>
              <w:t>veškerou elektronickou dokumentaci vymaže ze všech systémů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CD6E5A">
              <w:rPr>
                <w:rFonts w:asciiTheme="majorHAnsi" w:hAnsiTheme="majorHAnsi" w:cstheme="majorHAnsi"/>
                <w:sz w:val="20"/>
                <w:szCs w:val="20"/>
              </w:rPr>
              <w:t>To nemá vliv na pracovněprávní dokumentaci, vedenou k uchazeči v případě, že s ním je sjednán pracovní poměr.</w:t>
            </w:r>
          </w:p>
        </w:tc>
      </w:tr>
      <w:tr w:rsidR="006078BD" w:rsidRPr="00CD6E5A" w:rsidTr="0013116C">
        <w:tc>
          <w:tcPr>
            <w:tcW w:w="3256" w:type="dxa"/>
          </w:tcPr>
          <w:p w:rsidR="006078BD" w:rsidRPr="00592E80" w:rsidRDefault="006078BD" w:rsidP="00131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Práva uchazeče</w:t>
            </w:r>
            <w:r w:rsidRPr="00592E8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00" w:type="dxa"/>
          </w:tcPr>
          <w:p w:rsidR="006078BD" w:rsidRDefault="006078BD" w:rsidP="0013116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D6E5A">
              <w:rPr>
                <w:rFonts w:asciiTheme="majorHAnsi" w:hAnsiTheme="majorHAnsi" w:cstheme="majorHAnsi"/>
                <w:sz w:val="20"/>
                <w:szCs w:val="20"/>
              </w:rPr>
              <w:t xml:space="preserve">Uchazeč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má právo u SPRÁVCE OÚ jakožto u správce osobních údajů uplatnit následující práva:</w:t>
            </w:r>
          </w:p>
          <w:p w:rsidR="006078BD" w:rsidRDefault="006078BD" w:rsidP="0013116C">
            <w:pPr>
              <w:pStyle w:val="Odstavecseseznamem"/>
              <w:numPr>
                <w:ilvl w:val="0"/>
                <w:numId w:val="3"/>
              </w:numPr>
              <w:ind w:left="313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právo na přístup k osobním údajům;</w:t>
            </w:r>
          </w:p>
          <w:p w:rsidR="006078BD" w:rsidRDefault="006078BD" w:rsidP="0013116C">
            <w:pPr>
              <w:pStyle w:val="Odstavecseseznamem"/>
              <w:numPr>
                <w:ilvl w:val="0"/>
                <w:numId w:val="3"/>
              </w:numPr>
              <w:ind w:left="313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právo na vysvětlení a opravu osobních údajů;</w:t>
            </w:r>
          </w:p>
          <w:p w:rsidR="006078BD" w:rsidRDefault="006078BD" w:rsidP="0013116C">
            <w:pPr>
              <w:pStyle w:val="Odstavecseseznamem"/>
              <w:numPr>
                <w:ilvl w:val="0"/>
                <w:numId w:val="3"/>
              </w:numPr>
              <w:ind w:left="313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právo na výmaz osobních údajů;</w:t>
            </w:r>
          </w:p>
          <w:p w:rsidR="006078BD" w:rsidRDefault="006078BD" w:rsidP="0013116C">
            <w:pPr>
              <w:pStyle w:val="Odstavecseseznamem"/>
              <w:numPr>
                <w:ilvl w:val="0"/>
                <w:numId w:val="3"/>
              </w:numPr>
              <w:ind w:left="313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právo na omezení zpracování</w:t>
            </w:r>
          </w:p>
          <w:p w:rsidR="006078BD" w:rsidRDefault="006078BD" w:rsidP="0013116C">
            <w:pPr>
              <w:pStyle w:val="Odstavecseseznamem"/>
              <w:numPr>
                <w:ilvl w:val="0"/>
                <w:numId w:val="3"/>
              </w:numPr>
              <w:ind w:left="313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právo na podání stížnosti k Úřadu pro ochranu osobních údajů</w:t>
            </w:r>
          </w:p>
          <w:p w:rsidR="006078BD" w:rsidRPr="00BE00E6" w:rsidRDefault="006078BD" w:rsidP="0013116C">
            <w:pPr>
              <w:pStyle w:val="Odstavecseseznamem"/>
              <w:numPr>
                <w:ilvl w:val="0"/>
                <w:numId w:val="3"/>
              </w:numPr>
              <w:ind w:left="313" w:hanging="28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BE00E6">
              <w:rPr>
                <w:rFonts w:asciiTheme="majorHAnsi" w:hAnsiTheme="majorHAnsi" w:cstheme="majorHAnsi"/>
                <w:sz w:val="20"/>
                <w:szCs w:val="20"/>
              </w:rPr>
              <w:t>rávo nebýt předmětem automatizovaného rozhodování včetně profilování</w:t>
            </w:r>
          </w:p>
        </w:tc>
      </w:tr>
      <w:tr w:rsidR="006078BD" w:rsidRPr="00CD6E5A" w:rsidTr="0013116C">
        <w:tc>
          <w:tcPr>
            <w:tcW w:w="3256" w:type="dxa"/>
          </w:tcPr>
          <w:p w:rsidR="006078BD" w:rsidRPr="00592E80" w:rsidRDefault="006078BD" w:rsidP="00131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2E80">
              <w:rPr>
                <w:rFonts w:asciiTheme="majorHAnsi" w:hAnsiTheme="majorHAnsi" w:cstheme="majorHAnsi"/>
                <w:b/>
                <w:sz w:val="20"/>
                <w:szCs w:val="20"/>
              </w:rPr>
              <w:t>Informace o právech, která se na uchazeče nevztahují</w:t>
            </w:r>
          </w:p>
        </w:tc>
        <w:tc>
          <w:tcPr>
            <w:tcW w:w="5800" w:type="dxa"/>
          </w:tcPr>
          <w:p w:rsidR="006078BD" w:rsidRDefault="006078BD" w:rsidP="0013116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76C71">
              <w:rPr>
                <w:rFonts w:asciiTheme="majorHAnsi" w:hAnsiTheme="majorHAnsi" w:cstheme="majorHAnsi"/>
                <w:sz w:val="20"/>
                <w:szCs w:val="20"/>
              </w:rPr>
              <w:t xml:space="preserve">S ohledem na to, že v rámci zpracování osobních údajů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uchazeče</w:t>
            </w:r>
            <w:r w:rsidRPr="00676C71">
              <w:rPr>
                <w:rFonts w:asciiTheme="majorHAnsi" w:hAnsiTheme="majorHAnsi" w:cstheme="majorHAnsi"/>
                <w:sz w:val="20"/>
                <w:szCs w:val="20"/>
              </w:rPr>
              <w:t xml:space="preserve"> ze strany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SPRÁVCE OÚ</w:t>
            </w:r>
            <w:r w:rsidRPr="00676C71">
              <w:rPr>
                <w:rFonts w:asciiTheme="majorHAnsi" w:hAnsiTheme="majorHAnsi" w:cstheme="majorHAnsi"/>
                <w:sz w:val="20"/>
                <w:szCs w:val="20"/>
              </w:rPr>
              <w:t xml:space="preserve"> nejsou splněny podmínky pro přenositelnost osobních údajů ve smyslu čl. 20 Nařízení (zpracování není prováděno na základě souhlasu </w:t>
            </w:r>
            <w:r w:rsidRPr="009C7239">
              <w:rPr>
                <w:rFonts w:asciiTheme="majorHAnsi" w:hAnsiTheme="majorHAnsi" w:cstheme="majorHAnsi"/>
                <w:sz w:val="20"/>
                <w:szCs w:val="20"/>
              </w:rPr>
              <w:t>uchazeč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 </w:t>
            </w:r>
            <w:r w:rsidRPr="00676C71">
              <w:rPr>
                <w:rFonts w:asciiTheme="majorHAnsi" w:hAnsiTheme="majorHAnsi" w:cstheme="majorHAnsi"/>
                <w:sz w:val="20"/>
                <w:szCs w:val="20"/>
              </w:rPr>
              <w:t xml:space="preserve">ani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není prováděno automatizovaně</w:t>
            </w:r>
            <w:r w:rsidRPr="00676C71">
              <w:rPr>
                <w:rFonts w:asciiTheme="majorHAnsi" w:hAnsiTheme="majorHAnsi" w:cstheme="majorHAnsi"/>
                <w:sz w:val="20"/>
                <w:szCs w:val="20"/>
              </w:rPr>
              <w:t xml:space="preserve">), nemá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uchazeč</w:t>
            </w:r>
            <w:r w:rsidRPr="00676C71">
              <w:rPr>
                <w:rFonts w:asciiTheme="majorHAnsi" w:hAnsiTheme="majorHAnsi" w:cstheme="majorHAnsi"/>
                <w:sz w:val="20"/>
                <w:szCs w:val="20"/>
              </w:rPr>
              <w:t xml:space="preserve"> možnost toto právo uplatňovat.</w:t>
            </w:r>
          </w:p>
          <w:p w:rsidR="006078BD" w:rsidRPr="00D333D6" w:rsidRDefault="006078BD" w:rsidP="0013116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SPRÁVCE OÚ</w:t>
            </w:r>
            <w:r w:rsidRPr="00F66708">
              <w:rPr>
                <w:rFonts w:asciiTheme="majorHAnsi" w:hAnsiTheme="majorHAnsi" w:cstheme="majorHAnsi"/>
                <w:sz w:val="20"/>
                <w:szCs w:val="20"/>
              </w:rPr>
              <w:t xml:space="preserve"> zpracovává údaje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uchazeče</w:t>
            </w:r>
            <w:r w:rsidRPr="00F66708">
              <w:rPr>
                <w:rFonts w:asciiTheme="majorHAnsi" w:hAnsiTheme="majorHAnsi" w:cstheme="majorHAnsi"/>
                <w:sz w:val="20"/>
                <w:szCs w:val="20"/>
              </w:rPr>
              <w:t xml:space="preserve"> na základě jiných právních základů, než je souhlas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uchazeče</w:t>
            </w:r>
            <w:r w:rsidRPr="00F66708">
              <w:rPr>
                <w:rFonts w:asciiTheme="majorHAnsi" w:hAnsiTheme="majorHAnsi" w:cstheme="majorHAnsi"/>
                <w:sz w:val="20"/>
                <w:szCs w:val="20"/>
              </w:rPr>
              <w:t xml:space="preserve"> se zpracováním osobních údajů. Z tohoto důvodu nemůže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uchazeč</w:t>
            </w:r>
            <w:r w:rsidRPr="00F66708">
              <w:rPr>
                <w:rFonts w:asciiTheme="majorHAnsi" w:hAnsiTheme="majorHAnsi" w:cstheme="majorHAnsi"/>
                <w:sz w:val="20"/>
                <w:szCs w:val="20"/>
              </w:rPr>
              <w:t xml:space="preserve"> uplatňovat právo na odvolání souhlasu se zpracováním osobních údajů.</w:t>
            </w:r>
          </w:p>
        </w:tc>
      </w:tr>
      <w:tr w:rsidR="006078BD" w:rsidRPr="00CD6E5A" w:rsidTr="0013116C">
        <w:tc>
          <w:tcPr>
            <w:tcW w:w="3256" w:type="dxa"/>
          </w:tcPr>
          <w:p w:rsidR="006078BD" w:rsidRPr="00592E80" w:rsidRDefault="006078BD" w:rsidP="00131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2E80">
              <w:rPr>
                <w:rFonts w:asciiTheme="majorHAnsi" w:hAnsiTheme="majorHAnsi" w:cstheme="majorHAnsi"/>
                <w:b/>
                <w:sz w:val="20"/>
                <w:szCs w:val="20"/>
              </w:rPr>
              <w:t>Informace o způsobu uplatnění práv uchazečem</w:t>
            </w:r>
          </w:p>
        </w:tc>
        <w:tc>
          <w:tcPr>
            <w:tcW w:w="5800" w:type="dxa"/>
          </w:tcPr>
          <w:p w:rsidR="006078BD" w:rsidRPr="00B94229" w:rsidRDefault="006078BD" w:rsidP="0013116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94229">
              <w:rPr>
                <w:rFonts w:asciiTheme="majorHAnsi" w:hAnsiTheme="majorHAnsi" w:cstheme="majorHAnsi"/>
                <w:sz w:val="20"/>
                <w:szCs w:val="20"/>
              </w:rPr>
              <w:t xml:space="preserve">Práva dle tohoto dokumentu může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uchazeč</w:t>
            </w:r>
            <w:r w:rsidRPr="00B94229">
              <w:rPr>
                <w:rFonts w:asciiTheme="majorHAnsi" w:hAnsiTheme="majorHAnsi" w:cstheme="majorHAnsi"/>
                <w:sz w:val="20"/>
                <w:szCs w:val="20"/>
              </w:rPr>
              <w:t xml:space="preserve"> uplatnit následujícími způsoby:</w:t>
            </w:r>
          </w:p>
          <w:p w:rsidR="006078BD" w:rsidRPr="00B94229" w:rsidRDefault="006078BD" w:rsidP="0013116C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94229">
              <w:rPr>
                <w:rFonts w:asciiTheme="majorHAnsi" w:hAnsiTheme="majorHAnsi" w:cstheme="majorHAnsi"/>
                <w:sz w:val="20"/>
                <w:szCs w:val="20"/>
              </w:rPr>
              <w:t xml:space="preserve">osobně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 sídle SPRÁVCE OÚ</w:t>
            </w:r>
            <w:r w:rsidRPr="00B94229">
              <w:rPr>
                <w:rFonts w:asciiTheme="majorHAnsi" w:hAnsiTheme="majorHAnsi" w:cstheme="majorHAnsi"/>
                <w:sz w:val="20"/>
                <w:szCs w:val="20"/>
              </w:rPr>
              <w:t>, na základě předložení platného občanského průkazu;</w:t>
            </w:r>
          </w:p>
          <w:p w:rsidR="006078BD" w:rsidRDefault="006078BD" w:rsidP="0013116C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94229">
              <w:rPr>
                <w:rFonts w:asciiTheme="majorHAnsi" w:hAnsiTheme="majorHAnsi" w:cstheme="majorHAnsi"/>
                <w:sz w:val="20"/>
                <w:szCs w:val="20"/>
              </w:rPr>
              <w:t xml:space="preserve">elektronicky prostřednictvím datové schránky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uchazeče</w:t>
            </w:r>
            <w:r w:rsidRPr="00B94229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:rsidR="006078BD" w:rsidRDefault="006078BD" w:rsidP="0013116C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listovní zásilkou opatřenou ověřeným podpisem uchazeče;</w:t>
            </w:r>
          </w:p>
          <w:p w:rsidR="006078BD" w:rsidRPr="00B94229" w:rsidRDefault="006078BD" w:rsidP="0013116C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94229">
              <w:rPr>
                <w:rFonts w:asciiTheme="majorHAnsi" w:hAnsiTheme="majorHAnsi" w:cstheme="majorHAnsi"/>
                <w:sz w:val="20"/>
                <w:szCs w:val="20"/>
              </w:rPr>
              <w:t>e-mailem s elektronickým podpisem založeném na kvalifikovaném certifikátu vydaném certifikační autoritou uznávanou v ČR.</w:t>
            </w:r>
          </w:p>
        </w:tc>
      </w:tr>
      <w:tr w:rsidR="006078BD" w:rsidRPr="00CD6E5A" w:rsidTr="0013116C">
        <w:tc>
          <w:tcPr>
            <w:tcW w:w="3256" w:type="dxa"/>
          </w:tcPr>
          <w:p w:rsidR="006078BD" w:rsidRPr="00592E80" w:rsidRDefault="006078BD" w:rsidP="00131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2E80">
              <w:rPr>
                <w:rFonts w:asciiTheme="majorHAnsi" w:hAnsiTheme="majorHAnsi" w:cstheme="majorHAnsi"/>
                <w:b/>
                <w:sz w:val="20"/>
                <w:szCs w:val="20"/>
              </w:rPr>
              <w:t>Dobrovolné / povinné poskytnutí osobních údajů</w:t>
            </w:r>
          </w:p>
        </w:tc>
        <w:tc>
          <w:tcPr>
            <w:tcW w:w="5800" w:type="dxa"/>
          </w:tcPr>
          <w:p w:rsidR="006078BD" w:rsidRPr="00676C71" w:rsidRDefault="006078BD" w:rsidP="0013116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Zaslání poptávky zaměstnání SPRÁVCE OÚ nebo jakákoli reakce uchazeče na nabídku zaměstnání v SPRÁVCE OÚ je pro uchazeče zcela dobrovolná, stejně jako poskytnutí jakýchkoli osobních údajů nebo dokumentů. V případě, že informace poskytnuté ze strany uchazeče nejsou dostačující k rozhodnutí o jeho přijetí nebo nepřijetí, vyzve SPRÁVCE OÚ k jejich doplnění. V případě, že informace včetně požadovaných osobních údajů doplněny nebudou, nebude se SPRÁVCE OÚ žádostí uchazeče nadále zabývat a veškeré přijaté informace o uchazeči odstraní.</w:t>
            </w:r>
          </w:p>
        </w:tc>
      </w:tr>
      <w:tr w:rsidR="006078BD" w:rsidRPr="00CD6E5A" w:rsidTr="0013116C">
        <w:tc>
          <w:tcPr>
            <w:tcW w:w="3256" w:type="dxa"/>
          </w:tcPr>
          <w:p w:rsidR="006078BD" w:rsidRPr="00592E80" w:rsidRDefault="006078BD" w:rsidP="0013116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2E80">
              <w:rPr>
                <w:rFonts w:asciiTheme="majorHAnsi" w:hAnsiTheme="majorHAnsi" w:cstheme="majorHAnsi"/>
                <w:b/>
                <w:sz w:val="20"/>
                <w:szCs w:val="20"/>
              </w:rPr>
              <w:t>Automatizované rozhodování</w:t>
            </w:r>
          </w:p>
        </w:tc>
        <w:tc>
          <w:tcPr>
            <w:tcW w:w="5800" w:type="dxa"/>
          </w:tcPr>
          <w:p w:rsidR="006078BD" w:rsidRPr="00676C71" w:rsidRDefault="006078BD" w:rsidP="0013116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SPRÁVCE OÚ na základě osobních údajů přijatých od uchazeče neprovádí žádné činnosti, v rámci nichž by docházelo k automatizovanému rozhodování nebo k profilování uchazeče ve smyslu čl. 22 odst. 1 a 4, které by pro uchazeče mělo právní účinky nebo které by se jej jakkoli významně dotýkalo.</w:t>
            </w:r>
          </w:p>
        </w:tc>
      </w:tr>
    </w:tbl>
    <w:p w:rsidR="006078BD" w:rsidRDefault="006078BD" w:rsidP="006078BD">
      <w:pPr>
        <w:jc w:val="both"/>
      </w:pPr>
    </w:p>
    <w:p w:rsidR="005E457C" w:rsidRDefault="005E457C"/>
    <w:sectPr w:rsidR="005E457C" w:rsidSect="00876A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6768B"/>
    <w:multiLevelType w:val="hybridMultilevel"/>
    <w:tmpl w:val="F5045352"/>
    <w:lvl w:ilvl="0" w:tplc="D6784C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76601"/>
    <w:multiLevelType w:val="hybridMultilevel"/>
    <w:tmpl w:val="07E2ECD2"/>
    <w:lvl w:ilvl="0" w:tplc="EE9C7F18">
      <w:start w:val="60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15A7C"/>
    <w:multiLevelType w:val="hybridMultilevel"/>
    <w:tmpl w:val="15CCAF3E"/>
    <w:lvl w:ilvl="0" w:tplc="EE9C7F18">
      <w:start w:val="602"/>
      <w:numFmt w:val="bullet"/>
      <w:lvlText w:val="-"/>
      <w:lvlJc w:val="left"/>
      <w:pPr>
        <w:ind w:left="756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BD"/>
    <w:rsid w:val="005E457C"/>
    <w:rsid w:val="006078BD"/>
    <w:rsid w:val="007952FE"/>
    <w:rsid w:val="00876A44"/>
    <w:rsid w:val="00966D76"/>
    <w:rsid w:val="00C0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A3D720D-B5DA-DD49-BEB7-4ED5B540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8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78BD"/>
    <w:pPr>
      <w:ind w:left="720"/>
      <w:contextualSpacing/>
    </w:pPr>
    <w:rPr>
      <w:rFonts w:eastAsiaTheme="minorEastAsia"/>
    </w:rPr>
  </w:style>
  <w:style w:type="table" w:styleId="Mkatabulky">
    <w:name w:val="Table Grid"/>
    <w:basedOn w:val="Normlntabulka"/>
    <w:uiPriority w:val="39"/>
    <w:rsid w:val="00607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4790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Mališ</dc:creator>
  <cp:keywords/>
  <dc:description/>
  <cp:lastModifiedBy>Bacak Radek</cp:lastModifiedBy>
  <cp:revision>2</cp:revision>
  <dcterms:created xsi:type="dcterms:W3CDTF">2018-06-08T08:15:00Z</dcterms:created>
  <dcterms:modified xsi:type="dcterms:W3CDTF">2018-06-08T08:15:00Z</dcterms:modified>
</cp:coreProperties>
</file>